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Hlk504592209"/>
    </w:p>
    <w:p>
      <w:pPr>
        <w:rPr>
          <w:rFonts w:hAnsi="宋体"/>
          <w:kern w:val="0"/>
          <w:szCs w:val="21"/>
        </w:rPr>
      </w:pPr>
      <w:r>
        <w:rPr>
          <w:rFonts w:hint="eastAsia"/>
        </w:rPr>
        <w:t>郭豫媚，女，现任中央财经大学金融学院讲师。毕业于中国人民大学经济学院，获得经济学博士学位。主要从事宏观经济学，尤其是预期管理和货币政策等方面的研究工作。已经在《经济研究》、《金融研究》、《经济学动态》、《改革》和Review</w:t>
      </w:r>
      <w:r>
        <w:t xml:space="preserve"> </w:t>
      </w:r>
      <w:r>
        <w:rPr>
          <w:rFonts w:hint="eastAsia"/>
        </w:rPr>
        <w:t>of</w:t>
      </w:r>
      <w:r>
        <w:t xml:space="preserve"> Development Economics</w:t>
      </w:r>
      <w:r>
        <w:rPr>
          <w:rFonts w:hint="eastAsia"/>
        </w:rPr>
        <w:t>等国内外核心期刊发表近20篇学术论文，并在光明网、《经济参考报》、《中国经济导报》等媒体和报刊发表多篇资政类文章。主持1项国家自然科学基金项目，参与</w:t>
      </w:r>
      <w:r>
        <w:rPr>
          <w:rFonts w:hint="eastAsia" w:hAnsi="宋体"/>
          <w:kern w:val="0"/>
          <w:szCs w:val="21"/>
        </w:rPr>
        <w:t>马克思主义理论研究和建设工程等多项国家级课题。</w:t>
      </w:r>
      <w:bookmarkEnd w:id="0"/>
    </w:p>
    <w:p/>
    <w:p/>
    <w:p>
      <w:pPr>
        <w:autoSpaceDE w:val="0"/>
        <w:autoSpaceDN w:val="0"/>
        <w:adjustRightInd w:val="0"/>
        <w:jc w:val="left"/>
        <w:rPr>
          <w:rFonts w:ascii="SFRM1440" w:hAnsi="SFRM1440" w:cs="SFRM1440"/>
          <w:kern w:val="0"/>
          <w:sz w:val="29"/>
          <w:szCs w:val="29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Corporate Portfolio Decision and Housing Dynamics</w:t>
      </w:r>
      <w:r>
        <w:rPr>
          <w:rFonts w:ascii="SFRM1440" w:hAnsi="SFRM1440" w:cs="SFRM1440"/>
          <w:kern w:val="0"/>
          <w:sz w:val="29"/>
          <w:szCs w:val="29"/>
        </w:rPr>
        <w:t>*</w:t>
      </w:r>
    </w:p>
    <w:p>
      <w:pPr>
        <w:autoSpaceDE w:val="0"/>
        <w:autoSpaceDN w:val="0"/>
        <w:adjustRightInd w:val="0"/>
        <w:jc w:val="left"/>
        <w:rPr>
          <w:rFonts w:ascii="SFRM1000" w:hAnsi="SFRM1000" w:cs="SFRM1000"/>
          <w:kern w:val="0"/>
          <w:sz w:val="20"/>
          <w:szCs w:val="20"/>
        </w:rPr>
      </w:pPr>
      <w:r>
        <w:rPr>
          <w:rFonts w:ascii="CMR12" w:hAnsi="CMR12" w:cs="CMR12"/>
          <w:kern w:val="0"/>
          <w:sz w:val="29"/>
          <w:szCs w:val="29"/>
        </w:rPr>
        <w:t xml:space="preserve">Feng Dong </w:t>
      </w:r>
      <w:r>
        <w:rPr>
          <w:rFonts w:ascii="SFRM1000" w:hAnsi="SFRM1000" w:cs="SFRM1000"/>
          <w:kern w:val="0"/>
          <w:sz w:val="20"/>
          <w:szCs w:val="20"/>
        </w:rPr>
        <w:t xml:space="preserve">†  </w:t>
      </w:r>
      <w:r>
        <w:rPr>
          <w:rFonts w:ascii="CMR12" w:hAnsi="CMR12" w:cs="CMR12"/>
          <w:kern w:val="0"/>
          <w:sz w:val="29"/>
          <w:szCs w:val="29"/>
        </w:rPr>
        <w:t xml:space="preserve">Yumei Guo </w:t>
      </w:r>
      <w:r>
        <w:rPr>
          <w:rFonts w:ascii="SFRM1000" w:hAnsi="SFRM1000" w:cs="SFRM1000"/>
          <w:kern w:val="0"/>
          <w:sz w:val="20"/>
          <w:szCs w:val="20"/>
        </w:rPr>
        <w:t xml:space="preserve">‡  </w:t>
      </w:r>
      <w:r>
        <w:rPr>
          <w:rFonts w:ascii="CMR12" w:hAnsi="CMR12" w:cs="CMR12"/>
          <w:kern w:val="0"/>
          <w:sz w:val="29"/>
          <w:szCs w:val="29"/>
        </w:rPr>
        <w:t xml:space="preserve">Yuchao Peng </w:t>
      </w:r>
      <w:r>
        <w:rPr>
          <w:rFonts w:ascii="SFRM1000" w:hAnsi="SFRM1000" w:cs="SFRM1000"/>
          <w:kern w:val="0"/>
          <w:sz w:val="20"/>
          <w:szCs w:val="20"/>
        </w:rPr>
        <w:t xml:space="preserve">§  </w:t>
      </w:r>
      <w:r>
        <w:rPr>
          <w:rFonts w:ascii="CMR12" w:hAnsi="CMR12" w:cs="CMR12"/>
          <w:kern w:val="0"/>
          <w:sz w:val="29"/>
          <w:szCs w:val="29"/>
        </w:rPr>
        <w:t>Zhiwei Xu</w:t>
      </w:r>
      <w:r>
        <w:rPr>
          <w:rFonts w:ascii="SFRM1000" w:hAnsi="SFRM1000" w:cs="SFRM1000"/>
          <w:kern w:val="0"/>
          <w:sz w:val="20"/>
          <w:szCs w:val="20"/>
        </w:rPr>
        <w:t>¶</w:t>
      </w:r>
    </w:p>
    <w:p>
      <w:r>
        <w:rPr>
          <w:rFonts w:ascii="CMR12" w:hAnsi="CMR12" w:cs="CMR12"/>
          <w:kern w:val="0"/>
          <w:sz w:val="29"/>
          <w:szCs w:val="29"/>
        </w:rPr>
        <w:t>This Version: November, 2018</w:t>
      </w:r>
    </w:p>
    <w:p/>
    <w:p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0"/>
          <w:szCs w:val="20"/>
        </w:rPr>
      </w:pPr>
      <w:r>
        <w:rPr>
          <w:rFonts w:ascii="SFRM0700" w:hAnsi="SFRM0700" w:cs="SFRM0700"/>
          <w:kern w:val="0"/>
          <w:sz w:val="14"/>
          <w:szCs w:val="14"/>
        </w:rPr>
        <w:t>†</w:t>
      </w:r>
      <w:r>
        <w:rPr>
          <w:rFonts w:ascii="CMR10" w:hAnsi="CMR10" w:cs="CMR10"/>
          <w:kern w:val="0"/>
          <w:sz w:val="20"/>
          <w:szCs w:val="20"/>
        </w:rPr>
        <w:t>Antai College of Economics and Management, Shanghai Jiao Tong University; Email: fendong@sjtu.edu.cn.</w:t>
      </w:r>
    </w:p>
    <w:p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0"/>
          <w:szCs w:val="20"/>
        </w:rPr>
      </w:pPr>
      <w:r>
        <w:rPr>
          <w:rFonts w:ascii="SFRM0700" w:hAnsi="SFRM0700" w:cs="SFRM0700"/>
          <w:kern w:val="0"/>
          <w:sz w:val="14"/>
          <w:szCs w:val="14"/>
        </w:rPr>
        <w:t>‡</w:t>
      </w:r>
      <w:r>
        <w:rPr>
          <w:rFonts w:ascii="CMR10" w:hAnsi="CMR10" w:cs="CMR10"/>
          <w:kern w:val="0"/>
          <w:sz w:val="20"/>
          <w:szCs w:val="20"/>
        </w:rPr>
        <w:t>School of Finance, Central University of Finance and Economics, Beijing; Email: gym333@126.com.</w:t>
      </w:r>
    </w:p>
    <w:p>
      <w:pPr>
        <w:autoSpaceDE w:val="0"/>
        <w:autoSpaceDN w:val="0"/>
        <w:adjustRightInd w:val="0"/>
        <w:jc w:val="left"/>
        <w:rPr>
          <w:rFonts w:ascii="CMR10" w:hAnsi="CMR10" w:cs="CMR10"/>
          <w:kern w:val="0"/>
          <w:sz w:val="20"/>
          <w:szCs w:val="20"/>
        </w:rPr>
      </w:pPr>
      <w:r>
        <w:rPr>
          <w:rFonts w:ascii="SFRM0700" w:hAnsi="SFRM0700" w:cs="SFRM0700"/>
          <w:kern w:val="0"/>
          <w:sz w:val="14"/>
          <w:szCs w:val="14"/>
        </w:rPr>
        <w:t>§</w:t>
      </w:r>
      <w:r>
        <w:rPr>
          <w:rFonts w:ascii="CMR10" w:hAnsi="CMR10" w:cs="CMR10"/>
          <w:kern w:val="0"/>
          <w:sz w:val="20"/>
          <w:szCs w:val="20"/>
        </w:rPr>
        <w:t>School of Finance, Central University of Finance and Economics, Beijing; Email: yuchao.peng@hotmail.com.</w:t>
      </w:r>
    </w:p>
    <w:p>
      <w:r>
        <w:rPr>
          <w:rFonts w:ascii="SFRM0700" w:hAnsi="SFRM0700" w:cs="SFRM0700"/>
          <w:kern w:val="0"/>
          <w:sz w:val="14"/>
          <w:szCs w:val="14"/>
        </w:rPr>
        <w:t>¶</w:t>
      </w:r>
      <w:r>
        <w:rPr>
          <w:rFonts w:ascii="CMR10" w:hAnsi="CMR10" w:cs="CMR10"/>
          <w:kern w:val="0"/>
          <w:sz w:val="20"/>
          <w:szCs w:val="20"/>
        </w:rPr>
        <w:t>Antai College of Economics and Management, Shanghai Jiao Tong University; Email: xuzhiwei09@gmail.com.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rPr>
          <w:rFonts w:hint="eastAsia" w:ascii="CMR10" w:hAnsi="CMR10" w:cs="CMR10"/>
          <w:kern w:val="0"/>
          <w:sz w:val="22"/>
        </w:rPr>
      </w:pPr>
      <w:r>
        <w:rPr>
          <w:rFonts w:ascii="CMR10" w:hAnsi="CMR10" w:cs="CMR10"/>
          <w:kern w:val="0"/>
          <w:sz w:val="22"/>
        </w:rPr>
        <w:t>The Chinese economy in the past decade has witnessed a great housing boom, which turns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out associated with the slowdown of economic growth and the rise of firms' financial investments. Our empirical analysis also find that the weak economic prospect leads to the surge of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housing prices by stimulating firms' demand for financial (especially housing) assets. Motivated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by those facts, we take an off-the-shelf Dynamic New Keynesian model with a novel modeling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on firm's dynamic portfolio choice between physical and financial investments. The housing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assets earn positive return and can be used as collateral for the firm's external finance. A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negative productivity shock dampens the relative return of production capital, therefore more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firms have incentives to hold housing assets, leading to a boom in house prices. A rise in house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prices produces competing effects on the real investments: it not only raises firm's leverage due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to the higher collateral value, but also depresses firm's demand for physical capital because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of the crowding-out effects. After calibrating the model to Chinese economy, our quantitative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exercise shows that the crowding-out effect dominates the collateral effect of housing boom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on physical investments, resulting in a counter-cyclical housing prices. To stabilize aggregate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economy and housing market, our counterfactual analysis of policy evaluations reveals that, a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capital subsidization policy targeting house prices perform better than the monetary and the</w:t>
      </w:r>
      <w:r>
        <w:rPr>
          <w:rFonts w:hint="eastAsia" w:ascii="CMR10" w:hAnsi="CMR10" w:cs="CMR10"/>
          <w:kern w:val="0"/>
          <w:sz w:val="22"/>
        </w:rPr>
        <w:t xml:space="preserve"> </w:t>
      </w:r>
      <w:r>
        <w:rPr>
          <w:rFonts w:ascii="CMR10" w:hAnsi="CMR10" w:cs="CMR10"/>
          <w:kern w:val="0"/>
          <w:sz w:val="22"/>
        </w:rPr>
        <w:t>deleveraging policies.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FRM1440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MR17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FRM1000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MR12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MR10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FRM0700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4C"/>
    <w:rsid w:val="00081C55"/>
    <w:rsid w:val="00090198"/>
    <w:rsid w:val="00242D42"/>
    <w:rsid w:val="00326D52"/>
    <w:rsid w:val="00363FD1"/>
    <w:rsid w:val="00540354"/>
    <w:rsid w:val="005721C9"/>
    <w:rsid w:val="005C5CB0"/>
    <w:rsid w:val="006629E8"/>
    <w:rsid w:val="0071529A"/>
    <w:rsid w:val="0075104C"/>
    <w:rsid w:val="0075385E"/>
    <w:rsid w:val="007E6545"/>
    <w:rsid w:val="00813D51"/>
    <w:rsid w:val="00836CB4"/>
    <w:rsid w:val="008807AC"/>
    <w:rsid w:val="008D381C"/>
    <w:rsid w:val="009032A9"/>
    <w:rsid w:val="009D2F27"/>
    <w:rsid w:val="00A14F89"/>
    <w:rsid w:val="00A317BA"/>
    <w:rsid w:val="00A34287"/>
    <w:rsid w:val="00A8144C"/>
    <w:rsid w:val="00A84C64"/>
    <w:rsid w:val="00AF61F5"/>
    <w:rsid w:val="00CC0F04"/>
    <w:rsid w:val="00CF303B"/>
    <w:rsid w:val="00D03A2F"/>
    <w:rsid w:val="00D65706"/>
    <w:rsid w:val="00D706E7"/>
    <w:rsid w:val="00D90BF1"/>
    <w:rsid w:val="00E470A3"/>
    <w:rsid w:val="00F453C2"/>
    <w:rsid w:val="00F92BC3"/>
    <w:rsid w:val="00FC23DB"/>
    <w:rsid w:val="1BC85DE5"/>
    <w:rsid w:val="1FB70812"/>
    <w:rsid w:val="2F656F12"/>
    <w:rsid w:val="69CB35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1949</Characters>
  <Lines>16</Lines>
  <Paragraphs>4</Paragraphs>
  <TotalTime>14</TotalTime>
  <ScaleCrop>false</ScaleCrop>
  <LinksUpToDate>false</LinksUpToDate>
  <CharactersWithSpaces>2286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2018-11-28T16:03:00Z</dcterms:created>
  <dc:creator>GYM</dc:creator>
  <cp:lastModifiedBy>郭木木</cp:lastModifiedBy>
  <dcterms:modified xsi:type="dcterms:W3CDTF">2018-12-10T08:11:55Z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